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0" w:line="259" w:lineRule="auto"/>
        <w:ind w:left="0" w:right="0" w:firstLine="0"/>
        <w:rPr>
          <w:rFonts w:ascii="Poppins" w:cs="Poppins" w:eastAsia="Poppins" w:hAnsi="Poppins"/>
          <w:i w:val="1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</w:rPr>
      </w:pPr>
      <w:bookmarkStart w:colFirst="0" w:colLast="0" w:name="_heading=h.j3c83bm3ple5" w:id="0"/>
      <w:bookmarkEnd w:id="0"/>
      <w:r w:rsidDel="00000000" w:rsidR="00000000" w:rsidRPr="00000000">
        <w:rPr>
          <w:rFonts w:ascii="Poppins" w:cs="Poppins" w:eastAsia="Poppins" w:hAnsi="Poppins"/>
          <w:i w:val="1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  <w:rtl w:val="0"/>
        </w:rPr>
        <w:t xml:space="preserve">Rozsah plnění zakázky</w:t>
      </w:r>
    </w:p>
    <w:p w:rsidR="00000000" w:rsidDel="00000000" w:rsidP="00000000" w:rsidRDefault="00000000" w:rsidRPr="00000000" w14:paraId="00000002">
      <w:pPr>
        <w:pStyle w:val="Subtitle"/>
        <w:numPr>
          <w:ilvl w:val="1"/>
          <w:numId w:val="1"/>
        </w:numPr>
        <w:jc w:val="left"/>
        <w:rPr>
          <w:rFonts w:ascii="Poppins" w:cs="Poppins" w:eastAsia="Poppins" w:hAnsi="Poppins"/>
          <w:b w:val="1"/>
          <w:color w:val="fc2841"/>
          <w:sz w:val="32"/>
          <w:szCs w:val="32"/>
        </w:rPr>
      </w:pPr>
      <w:bookmarkStart w:colFirst="0" w:colLast="0" w:name="_heading=h.30j0zll" w:id="1"/>
      <w:bookmarkEnd w:id="1"/>
      <w:r w:rsidDel="00000000" w:rsidR="00000000" w:rsidRPr="00000000">
        <w:rPr>
          <w:rFonts w:ascii="Poppins" w:cs="Poppins" w:eastAsia="Poppins" w:hAnsi="Poppins"/>
          <w:rtl w:val="0"/>
        </w:rPr>
        <w:t xml:space="preserve">KRAJINÁŘSKO-ARCHITEKTONICKÁ VEŘEJNÁ OTEVŘENÁ JEDNOFÁZOVÁ PROJEKTOVÁ SOUTĚŽ O NÁVRH NA ŘEŠENÍ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1"/>
        <w:spacing w:after="120" w:before="240" w:line="240" w:lineRule="auto"/>
        <w:rPr>
          <w:rFonts w:ascii="Poppins" w:cs="Poppins" w:eastAsia="Poppins" w:hAnsi="Poppins"/>
          <w:color w:val="fc2841"/>
          <w:sz w:val="26"/>
          <w:szCs w:val="26"/>
        </w:rPr>
      </w:pPr>
      <w:r w:rsidDel="00000000" w:rsidR="00000000" w:rsidRPr="00000000">
        <w:rPr>
          <w:rFonts w:ascii="Poppins" w:cs="Poppins" w:eastAsia="Poppins" w:hAnsi="Poppins"/>
          <w:b w:val="1"/>
          <w:color w:val="fc2841"/>
          <w:sz w:val="50"/>
          <w:szCs w:val="50"/>
          <w:rtl w:val="0"/>
        </w:rPr>
        <w:t xml:space="preserve">„</w:t>
      </w:r>
      <w:r w:rsidDel="00000000" w:rsidR="00000000" w:rsidRPr="00000000">
        <w:rPr>
          <w:rFonts w:ascii="Poppins" w:cs="Poppins" w:eastAsia="Poppins" w:hAnsi="Poppins"/>
          <w:b w:val="1"/>
          <w:color w:val="fc2841"/>
          <w:sz w:val="48"/>
          <w:szCs w:val="48"/>
          <w:rtl w:val="0"/>
        </w:rPr>
        <w:t xml:space="preserve">MĚSTSKÁ HORA, BEROUN</w:t>
      </w:r>
      <w:r w:rsidDel="00000000" w:rsidR="00000000" w:rsidRPr="00000000">
        <w:rPr>
          <w:rFonts w:ascii="Poppins" w:cs="Poppins" w:eastAsia="Poppins" w:hAnsi="Poppins"/>
          <w:b w:val="1"/>
          <w:color w:val="fc2841"/>
          <w:sz w:val="50"/>
          <w:szCs w:val="50"/>
          <w:rtl w:val="0"/>
        </w:rPr>
        <w:t xml:space="preserve">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20" w:line="240" w:lineRule="auto"/>
        <w:ind w:firstLine="0"/>
        <w:rPr>
          <w:rFonts w:ascii="Poppins" w:cs="Poppins" w:eastAsia="Poppins" w:hAnsi="Poppins"/>
          <w:b w:val="1"/>
          <w:i w:val="1"/>
          <w:color w:val="fc2841"/>
          <w:sz w:val="48"/>
          <w:szCs w:val="48"/>
        </w:rPr>
      </w:pPr>
      <w:r w:rsidDel="00000000" w:rsidR="00000000" w:rsidRPr="00000000">
        <w:rPr>
          <w:rFonts w:ascii="Poppins" w:cs="Poppins" w:eastAsia="Poppins" w:hAnsi="Poppins"/>
          <w:b w:val="1"/>
          <w:color w:val="fc2841"/>
          <w:sz w:val="20"/>
          <w:szCs w:val="20"/>
          <w:rtl w:val="0"/>
        </w:rPr>
        <w:t xml:space="preserve">REVITALIZACE LESOPARKU V CENTRU MĚSTA BEROUN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3"/>
        <w:keepNext w:val="1"/>
        <w:keepLines w:val="1"/>
        <w:spacing w:after="200" w:line="360" w:lineRule="auto"/>
        <w:ind w:firstLine="0"/>
        <w:rPr>
          <w:sz w:val="12"/>
          <w:szCs w:val="12"/>
        </w:rPr>
      </w:pPr>
      <w:bookmarkStart w:colFirst="0" w:colLast="0" w:name="_heading=h.ak4hrqoygta4" w:id="2"/>
      <w:bookmarkEnd w:id="2"/>
      <w:r w:rsidDel="00000000" w:rsidR="00000000" w:rsidRPr="00000000">
        <w:rPr>
          <w:rFonts w:ascii="Calibri" w:cs="Calibri" w:eastAsia="Calibri" w:hAnsi="Calibri"/>
          <w:b w:val="1"/>
          <w:i w:val="1"/>
          <w:color w:val="fc2841"/>
          <w:sz w:val="32"/>
          <w:szCs w:val="32"/>
          <w:rtl w:val="0"/>
        </w:rPr>
        <w:t xml:space="preserve">Objednatel: Město Beroun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/>
      </w:pPr>
      <w:bookmarkStart w:colFirst="0" w:colLast="0" w:name="_heading=h.ntkdawn1mvbt" w:id="3"/>
      <w:bookmarkEnd w:id="3"/>
      <w:r w:rsidDel="00000000" w:rsidR="00000000" w:rsidRPr="00000000">
        <w:rPr>
          <w:rtl w:val="0"/>
        </w:rPr>
        <w:t xml:space="preserve">Sídlo: </w:t>
        <w:tab/>
        <w:tab/>
        <w:tab/>
        <w:t xml:space="preserve">Husovo nám. 68, 266 01 Beroun-Centrum</w:t>
      </w:r>
    </w:p>
    <w:p w:rsidR="00000000" w:rsidDel="00000000" w:rsidP="00000000" w:rsidRDefault="00000000" w:rsidRPr="00000000" w14:paraId="00000007">
      <w:pPr>
        <w:jc w:val="both"/>
        <w:rPr/>
      </w:pPr>
      <w:bookmarkStart w:colFirst="0" w:colLast="0" w:name="_heading=h.ntkdawn1mvbt" w:id="3"/>
      <w:bookmarkEnd w:id="3"/>
      <w:r w:rsidDel="00000000" w:rsidR="00000000" w:rsidRPr="00000000">
        <w:rPr>
          <w:rtl w:val="0"/>
        </w:rPr>
        <w:t xml:space="preserve">IČO, DIČ: </w:t>
        <w:tab/>
        <w:tab/>
        <w:t xml:space="preserve">00233129</w:t>
      </w:r>
    </w:p>
    <w:p w:rsidR="00000000" w:rsidDel="00000000" w:rsidP="00000000" w:rsidRDefault="00000000" w:rsidRPr="00000000" w14:paraId="00000008">
      <w:pPr>
        <w:jc w:val="both"/>
        <w:rPr/>
      </w:pPr>
      <w:bookmarkStart w:colFirst="0" w:colLast="0" w:name="_heading=h.ntkdawn1mvbt" w:id="3"/>
      <w:bookmarkEnd w:id="3"/>
      <w:r w:rsidDel="00000000" w:rsidR="00000000" w:rsidRPr="00000000">
        <w:rPr>
          <w:rtl w:val="0"/>
        </w:rPr>
        <w:t xml:space="preserve">Bankovní spojení: </w:t>
        <w:tab/>
        <w:t xml:space="preserve">326131/0100 (Komerční banka, a.s.)</w:t>
      </w:r>
    </w:p>
    <w:p w:rsidR="00000000" w:rsidDel="00000000" w:rsidP="00000000" w:rsidRDefault="00000000" w:rsidRPr="00000000" w14:paraId="00000009">
      <w:pPr>
        <w:jc w:val="both"/>
        <w:rPr/>
      </w:pPr>
      <w:bookmarkStart w:colFirst="0" w:colLast="0" w:name="_heading=h.ntkdawn1mvbt" w:id="3"/>
      <w:bookmarkEnd w:id="3"/>
      <w:r w:rsidDel="00000000" w:rsidR="00000000" w:rsidRPr="00000000">
        <w:rPr>
          <w:rtl w:val="0"/>
        </w:rPr>
        <w:t xml:space="preserve">Datová schránka: </w:t>
        <w:tab/>
        <w:t xml:space="preserve">2gubtq5</w:t>
      </w:r>
    </w:p>
    <w:p w:rsidR="00000000" w:rsidDel="00000000" w:rsidP="00000000" w:rsidRDefault="00000000" w:rsidRPr="00000000" w14:paraId="0000000A">
      <w:pPr>
        <w:jc w:val="both"/>
        <w:rPr/>
      </w:pPr>
      <w:bookmarkStart w:colFirst="0" w:colLast="0" w:name="_heading=h.ntkdawn1mvbt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76" w:lineRule="auto"/>
        <w:jc w:val="both"/>
        <w:rPr>
          <w:rFonts w:ascii="Poppins" w:cs="Poppins" w:eastAsia="Poppins" w:hAnsi="Poppins"/>
          <w:i w:val="1"/>
          <w:sz w:val="16"/>
          <w:szCs w:val="16"/>
        </w:rPr>
      </w:pPr>
      <w:bookmarkStart w:colFirst="0" w:colLast="0" w:name="_heading=h.hb81cyek40v6" w:id="4"/>
      <w:bookmarkEnd w:id="4"/>
      <w:r w:rsidDel="00000000" w:rsidR="00000000" w:rsidRPr="00000000">
        <w:rPr>
          <w:rFonts w:ascii="Poppins" w:cs="Poppins" w:eastAsia="Poppins" w:hAnsi="Poppins"/>
          <w:i w:val="1"/>
          <w:sz w:val="16"/>
          <w:szCs w:val="16"/>
          <w:rtl w:val="0"/>
        </w:rPr>
        <w:t xml:space="preserve">mapa řešeného území - červeně vyznačené je řešené území studie</w:t>
      </w:r>
    </w:p>
    <w:p w:rsidR="00000000" w:rsidDel="00000000" w:rsidP="00000000" w:rsidRDefault="00000000" w:rsidRPr="00000000" w14:paraId="0000000C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</w:rPr>
        <w:drawing>
          <wp:inline distB="114300" distT="114300" distL="114300" distR="114300">
            <wp:extent cx="5572125" cy="3515100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2823" l="0" r="0" t="7388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51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76" w:lineRule="auto"/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Dílo bude provedeno v následujícím rozsahu:</w:t>
      </w:r>
    </w:p>
    <w:p w:rsidR="00000000" w:rsidDel="00000000" w:rsidP="00000000" w:rsidRDefault="00000000" w:rsidRPr="00000000" w14:paraId="0000000F">
      <w:pPr>
        <w:pStyle w:val="Heading2"/>
        <w:rPr/>
      </w:pPr>
      <w:bookmarkStart w:colFirst="0" w:colLast="0" w:name="_heading=h.qb6psxxkadxt" w:id="5"/>
      <w:bookmarkEnd w:id="5"/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rtl w:val="0"/>
        </w:rPr>
        <w:t xml:space="preserve">A. krajinářsko-architektonická studie včetně </w:t>
      </w:r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rtl w:val="0"/>
        </w:rPr>
        <w:t xml:space="preserve">plánu managementu</w:t>
      </w:r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rtl w:val="0"/>
        </w:rPr>
        <w:t xml:space="preserve"> „Městská hora, Beroun“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Objednatel specifikuje následnou zakázku</w:t>
      </w:r>
    </w:p>
    <w:p w:rsidR="00000000" w:rsidDel="00000000" w:rsidP="00000000" w:rsidRDefault="00000000" w:rsidRPr="00000000" w14:paraId="00000011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a) vzorovou smlouvu o dílo, její znění bude řešeno v rámci JŘBU (podkladem pro sepsání smlouvy bude tento dokument “rozsah plnění zakázky”);</w:t>
      </w:r>
    </w:p>
    <w:p w:rsidR="00000000" w:rsidDel="00000000" w:rsidP="00000000" w:rsidRDefault="00000000" w:rsidRPr="00000000" w14:paraId="00000012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b) zadáním krajinářsko-architektonické studie, které je uvedeno níže.</w:t>
      </w:r>
    </w:p>
    <w:p w:rsidR="00000000" w:rsidDel="00000000" w:rsidP="00000000" w:rsidRDefault="00000000" w:rsidRPr="00000000" w14:paraId="00000013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Zadání krajinářsko-architektonické studie dále jen </w:t>
      </w: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“STS”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Zpracování STS předchází soutěž o návrh, jejímž cílem je navrhnout krajinářsko-architektonické a urbanistické řešení území včetně plánu péče. Zadání pro následné zpracování STS tvoří vybraný a oceněný krajinářsko-architektonický návrh, který může být v rámci hodnocení porotců doplněn o doporučení pro dopracování. Toto doporučení pro dopracování bude součástí jednání v JŘBU s vybraným  účastníkem. </w:t>
      </w:r>
    </w:p>
    <w:p w:rsidR="00000000" w:rsidDel="00000000" w:rsidP="00000000" w:rsidRDefault="00000000" w:rsidRPr="00000000" w14:paraId="00000016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STS včetně plánu managementu nebude sloužit pro rozhodování v území (nejedná se o zapsanou územní studii), bude sloužit jako podklad pro město pro další úpravy a rozvoj území. A to jednak o dlouhodobý plán, jak o místo pečovat a jak ho udržovat, p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řípadně budou podle něj zadávány další zakázky na stavební práce v území.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br w:type="textWrapping"/>
      </w:r>
      <w:r w:rsidDel="00000000" w:rsidR="00000000" w:rsidRPr="00000000">
        <w:rPr>
          <w:rFonts w:ascii="Poppins" w:cs="Poppins" w:eastAsia="Poppins" w:hAnsi="Poppins"/>
          <w:sz w:val="20"/>
          <w:szCs w:val="20"/>
        </w:rPr>
        <w:drawing>
          <wp:inline distB="114300" distT="114300" distL="114300" distR="114300">
            <wp:extent cx="5734050" cy="3599833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4715" l="0" r="0" t="638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998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Průběh zpracování STS</w:t>
      </w:r>
    </w:p>
    <w:p w:rsidR="00000000" w:rsidDel="00000000" w:rsidP="00000000" w:rsidRDefault="00000000" w:rsidRPr="00000000" w14:paraId="00000018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1. Návrh STS a dopracování dle doporučení,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 účast na společném jednání, úprava návrhu STS po společném jednání.</w:t>
      </w:r>
    </w:p>
    <w:p w:rsidR="00000000" w:rsidDel="00000000" w:rsidP="00000000" w:rsidRDefault="00000000" w:rsidRPr="00000000" w14:paraId="00000019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2. Projednání s DOSS,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majiteli tech. infrastruktury, majiteli dotčených pozemků, odborem územního plánování a odborem životního prostředí, vyhodnocení výsledků projednání.</w:t>
      </w:r>
    </w:p>
    <w:p w:rsidR="00000000" w:rsidDel="00000000" w:rsidP="00000000" w:rsidRDefault="00000000" w:rsidRPr="00000000" w14:paraId="0000001A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Územní studie bude rovněž </w:t>
      </w: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projednána s veřejností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 formou kulatých stolů. Vyhodnocení výsledků projednání proběhne ve spolupráci zhotovitele, pořizovatele a objednatele. Výsledky projednání a konzultací budou uvedeny v dokladové části.</w:t>
      </w:r>
    </w:p>
    <w:p w:rsidR="00000000" w:rsidDel="00000000" w:rsidP="00000000" w:rsidRDefault="00000000" w:rsidRPr="00000000" w14:paraId="0000001B">
      <w:pPr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3. Úprava návrhu STS po projednání, vydání finální STS.</w:t>
      </w:r>
    </w:p>
    <w:p w:rsidR="00000000" w:rsidDel="00000000" w:rsidP="00000000" w:rsidRDefault="00000000" w:rsidRPr="00000000" w14:paraId="0000001C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Na základě pokynů pořizovatele ohledně vypořádání připomínek bude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studie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dopracována.</w:t>
      </w:r>
    </w:p>
    <w:p w:rsidR="00000000" w:rsidDel="00000000" w:rsidP="00000000" w:rsidRDefault="00000000" w:rsidRPr="00000000" w14:paraId="0000001D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Forma odevzdání STS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STS v každé fázi odevzdána v počtu 4x tištěné paré a 1x na na CD/DVD/datovém disku ve formátech, umožňujících digitální prezentaci (formáty: textová část ve formátu *.pdf a některém z formátů *.doc, *.xls apod., výkresová část ve formátu *.pdf)</w:t>
      </w:r>
    </w:p>
    <w:p w:rsidR="00000000" w:rsidDel="00000000" w:rsidP="00000000" w:rsidRDefault="00000000" w:rsidRPr="00000000" w14:paraId="00000020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Formát zpracování finální STS</w:t>
      </w:r>
    </w:p>
    <w:p w:rsidR="00000000" w:rsidDel="00000000" w:rsidP="00000000" w:rsidRDefault="00000000" w:rsidRPr="00000000" w14:paraId="00000022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Studie bude obsahovat textovou a grafickou část a bude vycházet ze zadání. Studie bude zpracována v následujícím členění: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ind w:left="720" w:hanging="360"/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Textová část bude minimálně obsahovat:</w:t>
      </w:r>
    </w:p>
    <w:p w:rsidR="00000000" w:rsidDel="00000000" w:rsidP="00000000" w:rsidRDefault="00000000" w:rsidRPr="00000000" w14:paraId="00000024">
      <w:pPr>
        <w:jc w:val="both"/>
        <w:rPr>
          <w:rFonts w:ascii="Poppins" w:cs="Poppins" w:eastAsia="Poppins" w:hAnsi="Poppins"/>
          <w:i w:val="1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i w:val="1"/>
          <w:sz w:val="18"/>
          <w:szCs w:val="18"/>
          <w:rtl w:val="0"/>
        </w:rPr>
        <w:t xml:space="preserve">1. analytickou část:</w:t>
      </w:r>
    </w:p>
    <w:p w:rsidR="00000000" w:rsidDel="00000000" w:rsidP="00000000" w:rsidRDefault="00000000" w:rsidRPr="00000000" w14:paraId="00000025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analýza současného stavu (veřejné plochy, doprava, sítě technické infrastruktury atd.)</w:t>
      </w:r>
    </w:p>
    <w:p w:rsidR="00000000" w:rsidDel="00000000" w:rsidP="00000000" w:rsidRDefault="00000000" w:rsidRPr="00000000" w14:paraId="00000026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passport vegetace, inventarizace vegetace vybraných lokalit, botanický průzkum vybraných lokalit;</w:t>
      </w:r>
    </w:p>
    <w:p w:rsidR="00000000" w:rsidDel="00000000" w:rsidP="00000000" w:rsidRDefault="00000000" w:rsidRPr="00000000" w14:paraId="00000027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úprava soutěžního návrhu dle požadavků vyhlašovatele;</w:t>
      </w:r>
    </w:p>
    <w:p w:rsidR="00000000" w:rsidDel="00000000" w:rsidP="00000000" w:rsidRDefault="00000000" w:rsidRPr="00000000" w14:paraId="00000028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 doplnění průzkumů (dendrologický apod.)</w:t>
      </w:r>
    </w:p>
    <w:p w:rsidR="00000000" w:rsidDel="00000000" w:rsidP="00000000" w:rsidRDefault="00000000" w:rsidRPr="00000000" w14:paraId="00000029">
      <w:pPr>
        <w:jc w:val="both"/>
        <w:rPr>
          <w:rFonts w:ascii="Poppins" w:cs="Poppins" w:eastAsia="Poppins" w:hAnsi="Poppins"/>
          <w:i w:val="1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i w:val="1"/>
          <w:sz w:val="18"/>
          <w:szCs w:val="18"/>
          <w:rtl w:val="0"/>
        </w:rPr>
        <w:t xml:space="preserve">2. návrhovou část:</w:t>
      </w:r>
    </w:p>
    <w:p w:rsidR="00000000" w:rsidDel="00000000" w:rsidP="00000000" w:rsidRDefault="00000000" w:rsidRPr="00000000" w14:paraId="0000002A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krajinářsko architektonický návrh;</w:t>
      </w:r>
    </w:p>
    <w:p w:rsidR="00000000" w:rsidDel="00000000" w:rsidP="00000000" w:rsidRDefault="00000000" w:rsidRPr="00000000" w14:paraId="0000002B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kapacity území včetně dopravy;</w:t>
      </w:r>
    </w:p>
    <w:p w:rsidR="00000000" w:rsidDel="00000000" w:rsidP="00000000" w:rsidRDefault="00000000" w:rsidRPr="00000000" w14:paraId="0000002C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řešení veřejných prostranství v detailu;</w:t>
      </w:r>
    </w:p>
    <w:p w:rsidR="00000000" w:rsidDel="00000000" w:rsidP="00000000" w:rsidRDefault="00000000" w:rsidRPr="00000000" w14:paraId="0000002D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řešení zeleně včetně managementu péče;</w:t>
      </w:r>
    </w:p>
    <w:p w:rsidR="00000000" w:rsidDel="00000000" w:rsidP="00000000" w:rsidRDefault="00000000" w:rsidRPr="00000000" w14:paraId="0000002E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řešení technické infrastruktury včetně veřejného a architektonického osvětlení;</w:t>
      </w:r>
    </w:p>
    <w:p w:rsidR="00000000" w:rsidDel="00000000" w:rsidP="00000000" w:rsidRDefault="00000000" w:rsidRPr="00000000" w14:paraId="0000002F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etapizace výstavby;</w:t>
      </w:r>
    </w:p>
    <w:p w:rsidR="00000000" w:rsidDel="00000000" w:rsidP="00000000" w:rsidRDefault="00000000" w:rsidRPr="00000000" w14:paraId="00000030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tabulka bilancí a odhad investičních nákladů jednotlivých etap;</w:t>
      </w:r>
    </w:p>
    <w:p w:rsidR="00000000" w:rsidDel="00000000" w:rsidP="00000000" w:rsidRDefault="00000000" w:rsidRPr="00000000" w14:paraId="00000031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dokladová část (stanoviska dotčených orgánů, orgánů samosprávy, správců a vlastníků</w:t>
      </w:r>
    </w:p>
    <w:p w:rsidR="00000000" w:rsidDel="00000000" w:rsidP="00000000" w:rsidRDefault="00000000" w:rsidRPr="00000000" w14:paraId="00000032">
      <w:pPr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veřejné infrastruktury k návrhu řešení).</w:t>
      </w:r>
    </w:p>
    <w:p w:rsidR="00000000" w:rsidDel="00000000" w:rsidP="00000000" w:rsidRDefault="00000000" w:rsidRPr="00000000" w14:paraId="00000033">
      <w:pPr>
        <w:numPr>
          <w:ilvl w:val="0"/>
          <w:numId w:val="2"/>
        </w:numPr>
        <w:ind w:left="720" w:hanging="360"/>
        <w:jc w:val="both"/>
        <w:rPr>
          <w:rFonts w:ascii="Poppins" w:cs="Poppins" w:eastAsia="Poppins" w:hAnsi="Poppins"/>
          <w:b w:val="1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b w:val="1"/>
          <w:sz w:val="20"/>
          <w:szCs w:val="20"/>
          <w:rtl w:val="0"/>
        </w:rPr>
        <w:t xml:space="preserve">Grafická část bude minimálně obsahovat: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i w:val="1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i w:val="1"/>
          <w:sz w:val="18"/>
          <w:szCs w:val="18"/>
          <w:rtl w:val="0"/>
        </w:rPr>
        <w:t xml:space="preserve">1. analytickou část: (měřítka jsou orientační a je možné je dle konkrétního návrhu upravit)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situaci se znázorněním analýzy vztahů, hodnot a limitů v území a okolí;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passport vegetace, inventarizace vegetace vybraných lokalit, botanický průzkum vybraných lokalit;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další mapy vycházející z průzkumů;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i w:val="1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i w:val="1"/>
          <w:sz w:val="18"/>
          <w:szCs w:val="18"/>
          <w:rtl w:val="0"/>
        </w:rPr>
        <w:t xml:space="preserve">2. návrhovou část: (měřítka jsou orientační a je možné je dle konkrétního návrhu upravit)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výkres širších vztahů se znázorněním vazeb veřejného prostoru a zeleně v měřítku 1:2000;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koordinační situace (zejména zeleň, doprava, sítě tech. infrastruktury);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celková situace - krajinářsko architektonický návrh v měřítku 1 : 1000;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</w:t>
      </w: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detailní situace vybraných míst / staveb (dle návrhu);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pohledy a řezy (zřejmé materiálové a konstrukční řešení) vybraných míst / staveb (dle návrhu);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výkres funkčních ploch 1 : 1000;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výkres dopravního řešení a technické infrastruktury v měřítku 1 : 1000;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výkres etapizace území v měřítku 1: 1000;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podélné a příčné řezy územím;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tématická schémata;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- 2x nadhledovou 3D hmotovou vizualizaci zachycující řešení minimálně na formát A3;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18"/>
          <w:szCs w:val="18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vizualizace úprav z úrovně chodce dle charakteristických míst v území;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hanging="15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- </w:t>
      </w: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konkrétní podobu jednotlivých prvků</w:t>
      </w:r>
      <w:r w:rsidDel="00000000" w:rsidR="00000000" w:rsidRPr="00000000">
        <w:rPr>
          <w:rFonts w:ascii="Poppins" w:cs="Poppins" w:eastAsia="Poppins" w:hAnsi="Poppins"/>
          <w:sz w:val="18"/>
          <w:szCs w:val="18"/>
          <w:rtl w:val="0"/>
        </w:rPr>
        <w:t xml:space="preserve"> (mobiliář, detailní materiálové řešení zpevněných ploch).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360" w:line="276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cybuxmiy4xvf" w:id="6"/>
      <w:bookmarkEnd w:id="6"/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sz w:val="32"/>
          <w:szCs w:val="32"/>
          <w:rtl w:val="0"/>
        </w:rPr>
        <w:t xml:space="preserve">B.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  <w:rtl w:val="0"/>
        </w:rPr>
        <w:t xml:space="preserve"> Projektová dokumentace pro umístění stavby a povolení stavby (dále jen „DUR/DSP“) ve standardním rozsahu a včetně obstarávací činnosti, dokumentace bouracích prací; </w:t>
      </w:r>
    </w:p>
    <w:p w:rsidR="00000000" w:rsidDel="00000000" w:rsidP="00000000" w:rsidRDefault="00000000" w:rsidRPr="00000000" w14:paraId="00000048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59" w:lineRule="auto"/>
        <w:ind w:left="34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95et115tqiel" w:id="7"/>
      <w:bookmarkEnd w:id="7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2.1. Projektovou činnost (Zpracování hrubopisu, čistopisu)</w:t>
      </w:r>
    </w:p>
    <w:p w:rsidR="00000000" w:rsidDel="00000000" w:rsidP="00000000" w:rsidRDefault="00000000" w:rsidRPr="00000000" w14:paraId="00000049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Dokumentace DUR/DSP bude zpracována v rozsahu daném aktuálně platnou legislativou. Součástí projektové dokumentace budou veškeré stavební objekty a veřejná prostranství. Stavební objekty v projektové dokumentaci budou členěny tak, aby byla možná jejich postupná realizace (rozdělení do realizačních etap). Etapizace bude konzultována s Objednatelem. </w:t>
      </w:r>
    </w:p>
    <w:p w:rsidR="00000000" w:rsidDel="00000000" w:rsidP="00000000" w:rsidRDefault="00000000" w:rsidRPr="00000000" w14:paraId="0000004A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59" w:lineRule="auto"/>
        <w:ind w:left="34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srmg1w4qbe5n" w:id="8"/>
      <w:bookmarkEnd w:id="8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2.2. Zpracování dokumentace bouracích prací</w:t>
      </w:r>
    </w:p>
    <w:p w:rsidR="00000000" w:rsidDel="00000000" w:rsidP="00000000" w:rsidRDefault="00000000" w:rsidRPr="00000000" w14:paraId="0000004B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Dokumentace bouracích prací bude zpracována v rozsahu dle studie a v rozsahu daném legislativou. Součástí projektové dokumentace bouracích prací budou veškeré stavební objekty, které bude nutno zbourat pro bezchybné fungování nového projektu. Součástí práce bude zpracování rozpočtu včetně výkazu výměr. </w:t>
      </w:r>
    </w:p>
    <w:p w:rsidR="00000000" w:rsidDel="00000000" w:rsidP="00000000" w:rsidRDefault="00000000" w:rsidRPr="00000000" w14:paraId="0000004C">
      <w:pPr>
        <w:keepNext w:val="1"/>
        <w:keepLines w:val="1"/>
        <w:spacing w:after="200" w:line="240" w:lineRule="auto"/>
        <w:ind w:firstLine="283.46456692913375"/>
        <w:jc w:val="both"/>
        <w:rPr>
          <w:rFonts w:ascii="Calibri" w:cs="Calibri" w:eastAsia="Calibri" w:hAnsi="Calibri"/>
          <w:b w:val="1"/>
          <w:i w:val="1"/>
          <w:sz w:val="21"/>
          <w:szCs w:val="21"/>
        </w:rPr>
      </w:pPr>
      <w:bookmarkStart w:colFirst="0" w:colLast="0" w:name="_heading=h.vc3iauihfeg1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1"/>
        <w:keepLines w:val="1"/>
        <w:spacing w:after="200" w:line="240" w:lineRule="auto"/>
        <w:ind w:firstLine="283.46456692913375"/>
        <w:jc w:val="both"/>
        <w:rPr>
          <w:rFonts w:ascii="Calibri" w:cs="Calibri" w:eastAsia="Calibri" w:hAnsi="Calibri"/>
          <w:b w:val="1"/>
          <w:i w:val="1"/>
          <w:sz w:val="21"/>
          <w:szCs w:val="21"/>
        </w:rPr>
      </w:pPr>
      <w:bookmarkStart w:colFirst="0" w:colLast="0" w:name="_heading=h.hue3pgxdp8no" w:id="10"/>
      <w:bookmarkEnd w:id="10"/>
      <w:r w:rsidDel="00000000" w:rsidR="00000000" w:rsidRPr="00000000">
        <w:rPr>
          <w:rFonts w:ascii="Calibri" w:cs="Calibri" w:eastAsia="Calibri" w:hAnsi="Calibri"/>
          <w:b w:val="1"/>
          <w:i w:val="1"/>
          <w:sz w:val="21"/>
          <w:szCs w:val="21"/>
          <w:rtl w:val="0"/>
        </w:rPr>
        <w:t xml:space="preserve">2.3. Komunikace s vedením města </w:t>
      </w:r>
    </w:p>
    <w:p w:rsidR="00000000" w:rsidDel="00000000" w:rsidP="00000000" w:rsidRDefault="00000000" w:rsidRPr="00000000" w14:paraId="0000004E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Zpracovatel se zavazuje k průběžnému konzultování díla na pracovních skupinách, nejméně 4x během DUR/DSP. Zpracovatel se zavazuje k 1x s představení Radě města, 1x Zastupitelstvu města.</w:t>
      </w:r>
    </w:p>
    <w:p w:rsidR="00000000" w:rsidDel="00000000" w:rsidP="00000000" w:rsidRDefault="00000000" w:rsidRPr="00000000" w14:paraId="0000004F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59" w:lineRule="auto"/>
        <w:ind w:left="34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3wqgy049sall" w:id="11"/>
      <w:bookmarkEnd w:id="11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2.</w:t>
      </w:r>
      <w:r w:rsidDel="00000000" w:rsidR="00000000" w:rsidRPr="00000000">
        <w:rPr>
          <w:rFonts w:ascii="Calibri" w:cs="Calibri" w:eastAsia="Calibri" w:hAnsi="Calibri"/>
          <w:b w:val="1"/>
          <w:i w:val="1"/>
          <w:sz w:val="21"/>
          <w:szCs w:val="21"/>
          <w:rtl w:val="0"/>
        </w:rPr>
        <w:t xml:space="preserve">4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. Obstaravatelskou činnost a zajištění vydání povolení</w:t>
      </w:r>
    </w:p>
    <w:p w:rsidR="00000000" w:rsidDel="00000000" w:rsidP="00000000" w:rsidRDefault="00000000" w:rsidRPr="00000000" w14:paraId="00000050">
      <w:pPr>
        <w:numPr>
          <w:ilvl w:val="0"/>
          <w:numId w:val="3"/>
        </w:numPr>
        <w:spacing w:line="276" w:lineRule="auto"/>
        <w:ind w:left="720" w:hanging="360"/>
        <w:jc w:val="both"/>
        <w:rPr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předjednání hrubopisu dokumentace s DOSS, s veřejností a s majiteli sítí tech. infrastruktury;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0"/>
          <w:numId w:val="3"/>
        </w:numPr>
        <w:spacing w:line="276" w:lineRule="auto"/>
        <w:ind w:left="720" w:hanging="360"/>
        <w:jc w:val="both"/>
        <w:rPr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získání kladných stanovisek k čistopisu dokumentace DUR/DSP od DOSS a správců sítí technické infrastruktury;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numPr>
          <w:ilvl w:val="0"/>
          <w:numId w:val="3"/>
        </w:numPr>
        <w:spacing w:line="276" w:lineRule="auto"/>
        <w:ind w:left="720" w:hanging="360"/>
        <w:jc w:val="both"/>
        <w:rPr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podání dokumentace DUR/DSP na stavební úřad;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numPr>
          <w:ilvl w:val="0"/>
          <w:numId w:val="3"/>
        </w:numPr>
        <w:spacing w:line="276" w:lineRule="auto"/>
        <w:ind w:left="720" w:hanging="360"/>
        <w:jc w:val="both"/>
        <w:rPr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zajištění součinnosti se stavebním úřadem a obstarání stavebního povolení s nabytím právní moci.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76" w:lineRule="auto"/>
        <w:ind w:left="720" w:firstLine="0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1"/>
        <w:keepLines w:val="1"/>
        <w:spacing w:after="200" w:line="240" w:lineRule="auto"/>
        <w:ind w:firstLine="283.46456692913375"/>
        <w:jc w:val="both"/>
        <w:rPr>
          <w:rFonts w:ascii="Calibri" w:cs="Calibri" w:eastAsia="Calibri" w:hAnsi="Calibri"/>
          <w:b w:val="1"/>
          <w:i w:val="1"/>
          <w:sz w:val="21"/>
          <w:szCs w:val="21"/>
        </w:rPr>
      </w:pPr>
      <w:bookmarkStart w:colFirst="0" w:colLast="0" w:name="_heading=h.fqdk0vue00uw" w:id="12"/>
      <w:bookmarkEnd w:id="12"/>
      <w:r w:rsidDel="00000000" w:rsidR="00000000" w:rsidRPr="00000000">
        <w:rPr>
          <w:rFonts w:ascii="Calibri" w:cs="Calibri" w:eastAsia="Calibri" w:hAnsi="Calibri"/>
          <w:b w:val="1"/>
          <w:i w:val="1"/>
          <w:sz w:val="21"/>
          <w:szCs w:val="21"/>
          <w:rtl w:val="0"/>
        </w:rPr>
        <w:t xml:space="preserve">2.5. Předmětem dodávky není</w:t>
      </w:r>
    </w:p>
    <w:p w:rsidR="00000000" w:rsidDel="00000000" w:rsidP="00000000" w:rsidRDefault="00000000" w:rsidRPr="00000000" w14:paraId="00000056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Poplatek za správní řízení na stavebních úřadech.</w:t>
      </w:r>
    </w:p>
    <w:p w:rsidR="00000000" w:rsidDel="00000000" w:rsidP="00000000" w:rsidRDefault="00000000" w:rsidRPr="00000000" w14:paraId="00000057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360" w:line="276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co0vjd98seik" w:id="13"/>
      <w:bookmarkEnd w:id="13"/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sz w:val="32"/>
          <w:szCs w:val="32"/>
          <w:rtl w:val="0"/>
        </w:rPr>
        <w:t xml:space="preserve">C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  <w:rtl w:val="0"/>
        </w:rPr>
        <w:t xml:space="preserve">. Projektová dokumentace pro provádění stavby (dále jen DPS) včetně projektu interiéru</w:t>
      </w:r>
    </w:p>
    <w:p w:rsidR="00000000" w:rsidDel="00000000" w:rsidP="00000000" w:rsidRDefault="00000000" w:rsidRPr="00000000" w14:paraId="00000058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wo3zvemod6s9" w:id="14"/>
      <w:bookmarkEnd w:id="14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3.1. DPS bude vypracována v rozsahu daném aktuálně platnou legislativou. </w:t>
      </w:r>
    </w:p>
    <w:p w:rsidR="00000000" w:rsidDel="00000000" w:rsidP="00000000" w:rsidRDefault="00000000" w:rsidRPr="00000000" w14:paraId="00000059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Součástí projektové dokumentace budou v podrobnosti DPS navrženy veškeré stavební objekty. Součástí prací bude zpracování položkového rozpočtu (dle RTS nebo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URS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) s výkazem výměr, včetně slepého výkazu výměr, který bude sloužit jako podklad pro výběr zhotovitele stavby. </w:t>
      </w:r>
    </w:p>
    <w:p w:rsidR="00000000" w:rsidDel="00000000" w:rsidP="00000000" w:rsidRDefault="00000000" w:rsidRPr="00000000" w14:paraId="0000005A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z w:val="21"/>
          <w:szCs w:val="21"/>
        </w:rPr>
      </w:pPr>
      <w:bookmarkStart w:colFirst="0" w:colLast="0" w:name="_heading=h.dc7vfjfg2sga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hue3pgxdp8no" w:id="10"/>
      <w:bookmarkEnd w:id="10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3.2. Komunikace s vedením </w:t>
      </w:r>
      <w:r w:rsidDel="00000000" w:rsidR="00000000" w:rsidRPr="00000000">
        <w:rPr>
          <w:rFonts w:ascii="Calibri" w:cs="Calibri" w:eastAsia="Calibri" w:hAnsi="Calibri"/>
          <w:b w:val="1"/>
          <w:i w:val="1"/>
          <w:sz w:val="21"/>
          <w:szCs w:val="21"/>
          <w:rtl w:val="0"/>
        </w:rPr>
        <w:t xml:space="preserve">města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line="276" w:lineRule="auto"/>
        <w:jc w:val="both"/>
        <w:rPr>
          <w:rFonts w:ascii="Calibri" w:cs="Calibri" w:eastAsia="Calibri" w:hAnsi="Calibri"/>
          <w:b w:val="1"/>
          <w:i w:val="1"/>
          <w:sz w:val="21"/>
          <w:szCs w:val="21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Zpracovatel se zavazuje k 1x s představení Radě města, 1x Zastupitelstvu města.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Zpracovatel se zavazuje k průběžnému konzultování díla na pracovních skupinách, nejméně 4x během DPS. </w:t>
      </w:r>
    </w:p>
    <w:p w:rsidR="00000000" w:rsidDel="00000000" w:rsidP="00000000" w:rsidRDefault="00000000" w:rsidRPr="00000000" w14:paraId="0000005E">
      <w:pPr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sz w:val="32"/>
          <w:szCs w:val="32"/>
          <w:rtl w:val="0"/>
        </w:rPr>
        <w:t xml:space="preserve">D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  <w:rtl w:val="0"/>
        </w:rPr>
        <w:t xml:space="preserve">. Autorský dozor</w:t>
      </w:r>
    </w:p>
    <w:p w:rsidR="00000000" w:rsidDel="00000000" w:rsidP="00000000" w:rsidRDefault="00000000" w:rsidRPr="00000000" w14:paraId="00000060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Autorský dozor na stavbě (dále jen „ATD“) bude probíhat dle potřeby stavebníka a stavby, minimálně však 1x za týden. Autorský dozor bude zhotovitel vykonávat po celou dobu výstavby v potřebném rozsahu tak, aby zajistil kontrolu zakrývaných částí a dodržení všech parametrů, které by bránily kolaudaci stavby a jejímu následnému užívání. V případě výskytu technických problémů bude Objednatel vše řešit s autorským dozorem do 24 hodin od nahlášení problému.</w:t>
      </w:r>
    </w:p>
    <w:p w:rsidR="00000000" w:rsidDel="00000000" w:rsidP="00000000" w:rsidRDefault="00000000" w:rsidRPr="00000000" w14:paraId="00000061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59" w:lineRule="auto"/>
        <w:ind w:left="34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bookmarkStart w:colFirst="0" w:colLast="0" w:name="_heading=h.1zm706115l35" w:id="16"/>
      <w:bookmarkEnd w:id="16"/>
      <w:r w:rsidDel="00000000" w:rsidR="00000000" w:rsidRPr="00000000">
        <w:rPr>
          <w:rFonts w:ascii="Calibri" w:cs="Calibri" w:eastAsia="Calibri" w:hAnsi="Calibri"/>
          <w:b w:val="1"/>
          <w:i w:val="1"/>
          <w:sz w:val="21"/>
          <w:szCs w:val="21"/>
          <w:rtl w:val="0"/>
        </w:rPr>
        <w:t xml:space="preserve">4.1.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Činnosti provádění autorského dozoru: </w:t>
      </w:r>
    </w:p>
    <w:p w:rsidR="00000000" w:rsidDel="00000000" w:rsidP="00000000" w:rsidRDefault="00000000" w:rsidRPr="00000000" w14:paraId="00000062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účast při předání staveniště zhotoviteli stavby včetně přípravy a organizačního zajištění a provedení zápisu do stavebního deníku;</w:t>
      </w:r>
    </w:p>
    <w:p w:rsidR="00000000" w:rsidDel="00000000" w:rsidP="00000000" w:rsidRDefault="00000000" w:rsidRPr="00000000" w14:paraId="00000063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kontrola prováděných prací a jejich soulad se schválenou projektovou dokumentací a platnými normami a předpisy- nejedná se o technický dozor investora;</w:t>
      </w:r>
    </w:p>
    <w:p w:rsidR="00000000" w:rsidDel="00000000" w:rsidP="00000000" w:rsidRDefault="00000000" w:rsidRPr="00000000" w14:paraId="00000064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dohled nad systematickým doplňováním projektové dokumentace, podle které se stavba realizuje;</w:t>
      </w:r>
    </w:p>
    <w:p w:rsidR="00000000" w:rsidDel="00000000" w:rsidP="00000000" w:rsidRDefault="00000000" w:rsidRPr="00000000" w14:paraId="00000065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řešení technických problémů, které budou zjištěny zhotovitel stavby, řešit neprodleně, aby nedošlo k přerušení stavebních prací a prodloužení termínu dokončení stavby;</w:t>
      </w:r>
    </w:p>
    <w:p w:rsidR="00000000" w:rsidDel="00000000" w:rsidP="00000000" w:rsidRDefault="00000000" w:rsidRPr="00000000" w14:paraId="00000066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spolupráce s koordinátorem BOZP a technickým dozorem;</w:t>
      </w:r>
    </w:p>
    <w:p w:rsidR="00000000" w:rsidDel="00000000" w:rsidP="00000000" w:rsidRDefault="00000000" w:rsidRPr="00000000" w14:paraId="00000067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zadávání, kontrola a schvalování vzorků/ výpěstků;</w:t>
      </w:r>
    </w:p>
    <w:p w:rsidR="00000000" w:rsidDel="00000000" w:rsidP="00000000" w:rsidRDefault="00000000" w:rsidRPr="00000000" w14:paraId="00000068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kontrola a schvalování výrobní dokumentace dodavatelů;</w:t>
      </w:r>
    </w:p>
    <w:p w:rsidR="00000000" w:rsidDel="00000000" w:rsidP="00000000" w:rsidRDefault="00000000" w:rsidRPr="00000000" w14:paraId="00000069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účast na kolaudačním řízení;</w:t>
      </w:r>
    </w:p>
    <w:p w:rsidR="00000000" w:rsidDel="00000000" w:rsidP="00000000" w:rsidRDefault="00000000" w:rsidRPr="00000000" w14:paraId="0000006A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- dohled nad odstraněním vad a nedodělků.</w:t>
      </w:r>
    </w:p>
    <w:p w:rsidR="00000000" w:rsidDel="00000000" w:rsidP="00000000" w:rsidRDefault="00000000" w:rsidRPr="00000000" w14:paraId="0000006B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360" w:line="276" w:lineRule="auto"/>
        <w:ind w:left="0" w:right="0" w:firstLine="0"/>
        <w:jc w:val="both"/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l6et8n473gnr" w:id="17"/>
      <w:bookmarkEnd w:id="17"/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ff0000"/>
          <w:sz w:val="32"/>
          <w:szCs w:val="32"/>
          <w:u w:val="none"/>
          <w:shd w:fill="auto" w:val="clear"/>
          <w:vertAlign w:val="baseline"/>
          <w:rtl w:val="0"/>
        </w:rPr>
        <w:t xml:space="preserve">Podklady pro práci, které obstará </w:t>
      </w:r>
      <w:r w:rsidDel="00000000" w:rsidR="00000000" w:rsidRPr="00000000">
        <w:rPr>
          <w:rFonts w:ascii="Calibri" w:cs="Calibri" w:eastAsia="Calibri" w:hAnsi="Calibri"/>
          <w:b w:val="1"/>
          <w:i w:val="1"/>
          <w:color w:val="ff0000"/>
          <w:sz w:val="32"/>
          <w:szCs w:val="32"/>
          <w:rtl w:val="0"/>
        </w:rPr>
        <w:t xml:space="preserve">Zhotovitel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Na základě zadání Zhotovitele zadá Objednatel zpracovat potřebné podklady. Zhotovitel podá potřebnou součinnost Objednateli. </w:t>
      </w:r>
    </w:p>
    <w:p w:rsidR="00000000" w:rsidDel="00000000" w:rsidP="00000000" w:rsidRDefault="00000000" w:rsidRPr="00000000" w14:paraId="0000006F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a) polohopisné a výškopisné zaměření řešeného prostoru včetně vedení sítí v digitální podobě;</w:t>
      </w:r>
    </w:p>
    <w:p w:rsidR="00000000" w:rsidDel="00000000" w:rsidP="00000000" w:rsidRDefault="00000000" w:rsidRPr="00000000" w14:paraId="00000070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b) zajištění hydrogeologického průzkumu včetně vsakovací zkoušky;</w:t>
      </w:r>
    </w:p>
    <w:p w:rsidR="00000000" w:rsidDel="00000000" w:rsidP="00000000" w:rsidRDefault="00000000" w:rsidRPr="00000000" w14:paraId="00000071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c) revize aktuálního stavu inženýrských sítí;</w:t>
      </w:r>
    </w:p>
    <w:p w:rsidR="00000000" w:rsidDel="00000000" w:rsidP="00000000" w:rsidRDefault="00000000" w:rsidRPr="00000000" w14:paraId="00000072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d) radonový průzkum;</w:t>
      </w:r>
    </w:p>
    <w:p w:rsidR="00000000" w:rsidDel="00000000" w:rsidP="00000000" w:rsidRDefault="00000000" w:rsidRPr="00000000" w14:paraId="00000073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e) revize a doplněni dendrologické růzkumu;</w:t>
      </w:r>
    </w:p>
    <w:p w:rsidR="00000000" w:rsidDel="00000000" w:rsidP="00000000" w:rsidRDefault="00000000" w:rsidRPr="00000000" w14:paraId="00000074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f) 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passport vegetace, inventarizace vegetace vybraných lokalit, botanický průzkum vybraných lokalit</w:t>
      </w:r>
      <w:r w:rsidDel="00000000" w:rsidR="00000000" w:rsidRPr="00000000">
        <w:rPr>
          <w:rFonts w:ascii="Poppins" w:cs="Poppins" w:eastAsia="Poppins" w:hAnsi="Poppins"/>
          <w:sz w:val="20"/>
          <w:szCs w:val="20"/>
          <w:rtl w:val="0"/>
        </w:rPr>
        <w:t xml:space="preserve">.</w:t>
      </w:r>
    </w:p>
    <w:p w:rsidR="00000000" w:rsidDel="00000000" w:rsidP="00000000" w:rsidRDefault="00000000" w:rsidRPr="00000000" w14:paraId="00000075">
      <w:pPr>
        <w:spacing w:line="276" w:lineRule="auto"/>
        <w:jc w:val="both"/>
        <w:rPr>
          <w:rFonts w:ascii="Poppins" w:cs="Poppins" w:eastAsia="Poppins" w:hAnsi="Poppins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footerReference r:id="rId10" w:type="default"/>
      <w:footerReference r:id="rId11" w:type="first"/>
      <w:pgSz w:h="16838" w:w="11906" w:orient="portrait"/>
      <w:pgMar w:bottom="1930" w:top="1275.5905511811022" w:left="1440" w:right="1440" w:header="0" w:footer="1417.3228346456694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Poppi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1">
    <w:pPr>
      <w:spacing w:line="240" w:lineRule="auto"/>
      <w:ind w:firstLine="0"/>
      <w:rPr>
        <w:rFonts w:ascii="Poppins" w:cs="Poppins" w:eastAsia="Poppins" w:hAnsi="Poppins"/>
        <w:color w:val="aeaaaa"/>
        <w:sz w:val="16"/>
        <w:szCs w:val="16"/>
      </w:rPr>
    </w:pP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Rozsah plnění zakázky</w:t>
    </w:r>
  </w:p>
  <w:p w:rsidR="00000000" w:rsidDel="00000000" w:rsidP="00000000" w:rsidRDefault="00000000" w:rsidRPr="00000000" w14:paraId="00000082">
    <w:pPr>
      <w:spacing w:line="240" w:lineRule="auto"/>
      <w:ind w:firstLine="0"/>
      <w:rPr>
        <w:rFonts w:ascii="Poppins" w:cs="Poppins" w:eastAsia="Poppins" w:hAnsi="Poppins"/>
        <w:sz w:val="16"/>
        <w:szCs w:val="16"/>
      </w:rPr>
    </w:pP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„MĚSTSKÁ HORA, BEROUN“</w:t>
      <w:tab/>
      <w:tab/>
      <w:tab/>
      <w:tab/>
      <w:tab/>
      <w:tab/>
      <w:tab/>
      <w:tab/>
      <w:tab/>
      <w:tab/>
    </w:r>
    <w:r w:rsidDel="00000000" w:rsidR="00000000" w:rsidRPr="00000000">
      <w:rPr>
        <w:rFonts w:ascii="Poppins" w:cs="Poppins" w:eastAsia="Poppins" w:hAnsi="Poppins"/>
        <w:color w:val="aeaaaa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/</w:t>
    </w:r>
    <w:r w:rsidDel="00000000" w:rsidR="00000000" w:rsidRPr="00000000">
      <w:rPr>
        <w:rFonts w:ascii="Poppins" w:cs="Poppins" w:eastAsia="Poppins" w:hAnsi="Poppins"/>
        <w:color w:val="aeaaaa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3">
    <w:pPr>
      <w:spacing w:line="240" w:lineRule="auto"/>
      <w:ind w:firstLine="0"/>
      <w:rPr>
        <w:rFonts w:ascii="Poppins" w:cs="Poppins" w:eastAsia="Poppins" w:hAnsi="Poppins"/>
        <w:color w:val="aeaaaa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4">
    <w:pPr>
      <w:spacing w:line="240" w:lineRule="auto"/>
      <w:ind w:firstLine="0"/>
      <w:rPr>
        <w:rFonts w:ascii="Poppins" w:cs="Poppins" w:eastAsia="Poppins" w:hAnsi="Poppins"/>
        <w:color w:val="aeaaaa"/>
        <w:sz w:val="16"/>
        <w:szCs w:val="16"/>
      </w:rPr>
    </w:pP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Rozsah plnění zakázky</w:t>
    </w:r>
  </w:p>
  <w:p w:rsidR="00000000" w:rsidDel="00000000" w:rsidP="00000000" w:rsidRDefault="00000000" w:rsidRPr="00000000" w14:paraId="00000085">
    <w:pPr>
      <w:spacing w:after="0" w:lineRule="auto"/>
      <w:rPr>
        <w:rFonts w:ascii="Poppins" w:cs="Poppins" w:eastAsia="Poppins" w:hAnsi="Poppins"/>
        <w:color w:val="aeaaaa"/>
        <w:sz w:val="16"/>
        <w:szCs w:val="16"/>
      </w:rPr>
    </w:pP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„MĚSTSKÁ HORA, BEROUN“</w:t>
    </w:r>
  </w:p>
  <w:p w:rsidR="00000000" w:rsidDel="00000000" w:rsidP="00000000" w:rsidRDefault="00000000" w:rsidRPr="00000000" w14:paraId="00000086">
    <w:pPr>
      <w:spacing w:after="40" w:line="259" w:lineRule="auto"/>
      <w:ind w:left="567" w:firstLine="0"/>
      <w:jc w:val="right"/>
      <w:rPr>
        <w:rFonts w:ascii="Poppins" w:cs="Poppins" w:eastAsia="Poppins" w:hAnsi="Poppins"/>
        <w:b w:val="1"/>
        <w:i w:val="1"/>
        <w:sz w:val="16"/>
        <w:szCs w:val="16"/>
      </w:rPr>
    </w:pPr>
    <w:r w:rsidDel="00000000" w:rsidR="00000000" w:rsidRPr="00000000">
      <w:rPr>
        <w:rFonts w:ascii="Poppins" w:cs="Poppins" w:eastAsia="Poppins" w:hAnsi="Poppins"/>
        <w:color w:val="aeaaaa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Poppins" w:cs="Poppins" w:eastAsia="Poppins" w:hAnsi="Poppins"/>
        <w:color w:val="aeaaaa"/>
        <w:sz w:val="16"/>
        <w:szCs w:val="16"/>
        <w:rtl w:val="0"/>
      </w:rPr>
      <w:t xml:space="preserve">/</w:t>
    </w:r>
    <w:r w:rsidDel="00000000" w:rsidR="00000000" w:rsidRPr="00000000">
      <w:rPr>
        <w:rFonts w:ascii="Poppins" w:cs="Poppins" w:eastAsia="Poppins" w:hAnsi="Poppins"/>
        <w:color w:val="aeaaaa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76">
    <w:pPr>
      <w:spacing w:after="40" w:lineRule="auto"/>
      <w:ind w:firstLine="510"/>
      <w:rPr>
        <w:b w:val="1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7">
    <w:pPr>
      <w:spacing w:after="40" w:lineRule="auto"/>
      <w:ind w:firstLine="510"/>
      <w:rPr>
        <w:b w:val="1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8">
    <w:pPr>
      <w:spacing w:after="40" w:lineRule="auto"/>
      <w:ind w:firstLine="510"/>
      <w:rPr>
        <w:rFonts w:ascii="Poppins" w:cs="Poppins" w:eastAsia="Poppins" w:hAnsi="Poppins"/>
        <w:b w:val="1"/>
        <w:sz w:val="16"/>
        <w:szCs w:val="16"/>
      </w:rPr>
    </w:pPr>
    <w:r w:rsidDel="00000000" w:rsidR="00000000" w:rsidRPr="00000000">
      <w:rPr>
        <w:rFonts w:ascii="Poppins" w:cs="Poppins" w:eastAsia="Poppins" w:hAnsi="Poppins"/>
        <w:b w:val="1"/>
        <w:sz w:val="16"/>
        <w:szCs w:val="16"/>
        <w:rtl w:val="0"/>
      </w:rPr>
      <w:t xml:space="preserve">Organizátor soutěže:</w:t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4578675</wp:posOffset>
          </wp:positionH>
          <wp:positionV relativeFrom="paragraph">
            <wp:posOffset>38100</wp:posOffset>
          </wp:positionV>
          <wp:extent cx="1155712" cy="1164273"/>
          <wp:effectExtent b="0" l="0" r="0" t="0"/>
          <wp:wrapSquare wrapText="bothSides" distB="0" distT="0" distL="0" distR="0"/>
          <wp:docPr descr="CU_logo_light_long.png" id="5" name="image1.png"/>
          <a:graphic>
            <a:graphicData uri="http://schemas.openxmlformats.org/drawingml/2006/picture">
              <pic:pic>
                <pic:nvPicPr>
                  <pic:cNvPr descr="CU_logo_light_long.png" id="0" name="image1.png"/>
                  <pic:cNvPicPr preferRelativeResize="0"/>
                </pic:nvPicPr>
                <pic:blipFill>
                  <a:blip r:embed="rId1"/>
                  <a:srcRect b="0" l="322" r="322" t="0"/>
                  <a:stretch>
                    <a:fillRect/>
                  </a:stretch>
                </pic:blipFill>
                <pic:spPr>
                  <a:xfrm>
                    <a:off x="0" y="0"/>
                    <a:ext cx="1155712" cy="116427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79">
    <w:pPr>
      <w:spacing w:after="40" w:lineRule="auto"/>
      <w:ind w:firstLine="510"/>
      <w:rPr>
        <w:rFonts w:ascii="Poppins" w:cs="Poppins" w:eastAsia="Poppins" w:hAnsi="Poppins"/>
        <w:b w:val="1"/>
        <w:sz w:val="16"/>
        <w:szCs w:val="16"/>
      </w:rPr>
    </w:pPr>
    <w:r w:rsidDel="00000000" w:rsidR="00000000" w:rsidRPr="00000000">
      <w:rPr>
        <w:rFonts w:ascii="Poppins" w:cs="Poppins" w:eastAsia="Poppins" w:hAnsi="Poppins"/>
        <w:b w:val="1"/>
        <w:sz w:val="16"/>
        <w:szCs w:val="16"/>
        <w:rtl w:val="0"/>
      </w:rPr>
      <w:t xml:space="preserve">City Upgrade s.r.o.</w:t>
    </w:r>
  </w:p>
  <w:p w:rsidR="00000000" w:rsidDel="00000000" w:rsidP="00000000" w:rsidRDefault="00000000" w:rsidRPr="00000000" w14:paraId="0000007A">
    <w:pPr>
      <w:spacing w:after="40" w:lineRule="auto"/>
      <w:ind w:firstLine="510"/>
      <w:rPr>
        <w:rFonts w:ascii="Poppins" w:cs="Poppins" w:eastAsia="Poppins" w:hAnsi="Poppins"/>
        <w:sz w:val="16"/>
        <w:szCs w:val="16"/>
      </w:rPr>
    </w:pPr>
    <w:r w:rsidDel="00000000" w:rsidR="00000000" w:rsidRPr="00000000">
      <w:rPr>
        <w:rFonts w:ascii="Poppins" w:cs="Poppins" w:eastAsia="Poppins" w:hAnsi="Poppins"/>
        <w:sz w:val="16"/>
        <w:szCs w:val="16"/>
        <w:rtl w:val="0"/>
      </w:rPr>
      <w:t xml:space="preserve">Školská 12</w:t>
    </w:r>
  </w:p>
  <w:p w:rsidR="00000000" w:rsidDel="00000000" w:rsidP="00000000" w:rsidRDefault="00000000" w:rsidRPr="00000000" w14:paraId="0000007B">
    <w:pPr>
      <w:spacing w:after="40" w:lineRule="auto"/>
      <w:ind w:firstLine="510"/>
      <w:rPr>
        <w:rFonts w:ascii="Poppins" w:cs="Poppins" w:eastAsia="Poppins" w:hAnsi="Poppins"/>
        <w:sz w:val="16"/>
        <w:szCs w:val="16"/>
      </w:rPr>
    </w:pPr>
    <w:r w:rsidDel="00000000" w:rsidR="00000000" w:rsidRPr="00000000">
      <w:rPr>
        <w:rFonts w:ascii="Poppins" w:cs="Poppins" w:eastAsia="Poppins" w:hAnsi="Poppins"/>
        <w:sz w:val="16"/>
        <w:szCs w:val="16"/>
        <w:rtl w:val="0"/>
      </w:rPr>
      <w:t xml:space="preserve">110 00 Praha – Nové Město</w:t>
    </w:r>
  </w:p>
  <w:p w:rsidR="00000000" w:rsidDel="00000000" w:rsidP="00000000" w:rsidRDefault="00000000" w:rsidRPr="00000000" w14:paraId="0000007C">
    <w:pPr>
      <w:spacing w:after="40" w:lineRule="auto"/>
      <w:ind w:firstLine="510"/>
      <w:rPr>
        <w:rFonts w:ascii="Poppins" w:cs="Poppins" w:eastAsia="Poppins" w:hAnsi="Poppins"/>
        <w:sz w:val="16"/>
        <w:szCs w:val="16"/>
      </w:rPr>
    </w:pPr>
    <w:r w:rsidDel="00000000" w:rsidR="00000000" w:rsidRPr="00000000">
      <w:rPr>
        <w:rFonts w:ascii="Poppins" w:cs="Poppins" w:eastAsia="Poppins" w:hAnsi="Poppins"/>
        <w:sz w:val="16"/>
        <w:szCs w:val="16"/>
        <w:rtl w:val="0"/>
      </w:rPr>
      <w:t xml:space="preserve">e: kontakt@cityupgrade.cz</w:t>
    </w:r>
  </w:p>
  <w:p w:rsidR="00000000" w:rsidDel="00000000" w:rsidP="00000000" w:rsidRDefault="00000000" w:rsidRPr="00000000" w14:paraId="0000007D">
    <w:pPr>
      <w:spacing w:after="40" w:lineRule="auto"/>
      <w:ind w:firstLine="510"/>
      <w:rPr>
        <w:sz w:val="16"/>
        <w:szCs w:val="16"/>
      </w:rPr>
    </w:pPr>
    <w:r w:rsidDel="00000000" w:rsidR="00000000" w:rsidRPr="00000000">
      <w:rPr>
        <w:rFonts w:ascii="Poppins" w:cs="Poppins" w:eastAsia="Poppins" w:hAnsi="Poppins"/>
        <w:sz w:val="16"/>
        <w:szCs w:val="16"/>
        <w:rtl w:val="0"/>
      </w:rPr>
      <w:t xml:space="preserve">http://cityupgrade.cz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E">
    <w:pPr>
      <w:spacing w:after="40" w:lineRule="auto"/>
      <w:rPr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F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0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"/>
      <w:lvlJc w:val="left"/>
      <w:pPr>
        <w:ind w:left="0" w:firstLine="0"/>
      </w:pPr>
      <w:rPr/>
    </w:lvl>
    <w:lvl w:ilvl="1">
      <w:start w:val="1"/>
      <w:numFmt w:val="decimal"/>
      <w:lvlText w:val=""/>
      <w:lvlJc w:val="left"/>
      <w:pPr>
        <w:ind w:left="0" w:firstLine="0"/>
      </w:pPr>
      <w:rPr/>
    </w:lvl>
    <w:lvl w:ilvl="2">
      <w:start w:val="1"/>
      <w:numFmt w:val="decimal"/>
      <w:lvlText w:val=""/>
      <w:lvlJc w:val="left"/>
      <w:pPr>
        <w:ind w:left="0" w:firstLine="0"/>
      </w:pPr>
      <w:rPr/>
    </w:lvl>
    <w:lvl w:ilvl="3">
      <w:start w:val="1"/>
      <w:numFmt w:val="decimal"/>
      <w:lvlText w:val=""/>
      <w:lvlJc w:val="left"/>
      <w:pPr>
        <w:ind w:left="0" w:firstLine="0"/>
      </w:pPr>
      <w:rPr/>
    </w:lvl>
    <w:lvl w:ilvl="4">
      <w:start w:val="1"/>
      <w:numFmt w:val="decimal"/>
      <w:lvlText w:val=""/>
      <w:lvlJc w:val="left"/>
      <w:pPr>
        <w:ind w:left="0" w:firstLine="0"/>
      </w:pPr>
      <w:rPr/>
    </w:lvl>
    <w:lvl w:ilvl="5">
      <w:start w:val="1"/>
      <w:numFmt w:val="decimal"/>
      <w:lvlText w:val=""/>
      <w:lvlJc w:val="left"/>
      <w:pPr>
        <w:ind w:left="0" w:firstLine="0"/>
      </w:pPr>
      <w:rPr/>
    </w:lvl>
    <w:lvl w:ilvl="6">
      <w:start w:val="1"/>
      <w:numFmt w:val="decimal"/>
      <w:lvlText w:val=""/>
      <w:lvlJc w:val="left"/>
      <w:pPr>
        <w:ind w:left="0" w:firstLine="0"/>
      </w:pPr>
      <w:rPr/>
    </w:lvl>
    <w:lvl w:ilvl="7">
      <w:start w:val="1"/>
      <w:numFmt w:val="decimal"/>
      <w:lvlText w:val=""/>
      <w:lvlJc w:val="left"/>
      <w:pPr>
        <w:ind w:left="0" w:firstLine="0"/>
      </w:pPr>
      <w:rPr/>
    </w:lvl>
    <w:lvl w:ilvl="8">
      <w:start w:val="1"/>
      <w:numFmt w:val="decimal"/>
      <w:lvlText w:val=""/>
      <w:lvlJc w:val="left"/>
      <w:pPr>
        <w:ind w:left="0" w:firstLine="0"/>
      </w:pPr>
      <w:rPr/>
    </w:lvl>
  </w:abstractNum>
  <w:abstractNum w:abstractNumId="2"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cs-CZ"/>
      </w:rPr>
    </w:rPrDefault>
    <w:pPrDefault>
      <w:pPr>
        <w:spacing w:line="276" w:lineRule="auto"/>
        <w:ind w:hanging="15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0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36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2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434343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0" w:line="276" w:lineRule="auto"/>
      <w:ind w:left="0" w:right="0" w:hanging="15"/>
      <w:jc w:val="both"/>
    </w:pPr>
    <w:rPr>
      <w:rFonts w:ascii="Arial" w:cs="Arial" w:eastAsia="Arial" w:hAnsi="Arial"/>
      <w:b w:val="0"/>
      <w:i w:val="0"/>
      <w:smallCaps w:val="0"/>
      <w:strike w:val="0"/>
      <w:color w:val="000000"/>
      <w:sz w:val="52"/>
      <w:szCs w:val="5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0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36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2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434343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666666"/>
      <w:sz w:val="20"/>
      <w:szCs w:val="20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666666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0" w:line="276" w:lineRule="auto"/>
      <w:ind w:left="0" w:right="0" w:hanging="15"/>
      <w:jc w:val="both"/>
    </w:pPr>
    <w:rPr>
      <w:rFonts w:ascii="Poppins" w:cs="Poppins" w:eastAsia="Poppins" w:hAnsi="Poppins"/>
      <w:b w:val="0"/>
      <w:i w:val="0"/>
      <w:smallCaps w:val="0"/>
      <w:strike w:val="0"/>
      <w:color w:val="000000"/>
      <w:sz w:val="52"/>
      <w:szCs w:val="5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360" w:lineRule="auto"/>
      <w:ind w:firstLine="0"/>
      <w:jc w:val="center"/>
    </w:pPr>
    <w:rPr>
      <w:b w:val="1"/>
      <w:color w:val="fc284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color w:val="ff000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120" w:before="240" w:line="259" w:lineRule="auto"/>
      <w:ind w:left="340"/>
    </w:pPr>
    <w:rPr>
      <w:b w:val="1"/>
      <w:sz w:val="21"/>
      <w:szCs w:val="21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firstLine="0"/>
      <w:jc w:val="both"/>
    </w:pPr>
    <w:rPr>
      <w:rFonts w:ascii="Arial" w:cs="Arial" w:eastAsia="Arial" w:hAnsi="Arial"/>
      <w:b w:val="1"/>
      <w:i w:val="1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both"/>
    </w:pPr>
    <w:rPr>
      <w:rFonts w:ascii="Arial" w:cs="Arial" w:eastAsia="Arial" w:hAnsi="Arial"/>
      <w:b w:val="1"/>
      <w:i w:val="1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both"/>
    </w:pPr>
    <w:rPr>
      <w:rFonts w:ascii="Arial" w:cs="Arial" w:eastAsia="Arial" w:hAnsi="Arial"/>
      <w:b w:val="1"/>
      <w:i w:val="1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spacing w:after="40" w:line="259" w:lineRule="auto"/>
      <w:jc w:val="center"/>
    </w:pPr>
    <w:rPr>
      <w:color w:val="ff0000"/>
      <w:sz w:val="48"/>
      <w:szCs w:val="48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0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36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2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434343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666666"/>
      <w:sz w:val="20"/>
      <w:szCs w:val="20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666666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0" w:line="276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000000"/>
      <w:sz w:val="52"/>
      <w:szCs w:val="52"/>
      <w:u w:val="none"/>
      <w:shd w:fill="auto" w:val="clear"/>
      <w:vertAlign w:val="baseline"/>
    </w:rPr>
  </w:style>
  <w:style w:type="paragraph" w:styleId="Normln" w:default="1">
    <w:name w:val="Normal"/>
    <w:qFormat w:val="1"/>
    <w:pPr>
      <w:spacing w:line="276" w:lineRule="auto"/>
    </w:pPr>
    <w:rPr>
      <w:rFonts w:ascii="Arial" w:cs="Arial" w:eastAsia="Arial" w:hAnsi="Arial"/>
      <w:sz w:val="22"/>
      <w:szCs w:val="22"/>
      <w:lang w:bidi="ar-SA" w:eastAsia="cs-CZ"/>
    </w:rPr>
  </w:style>
  <w:style w:type="paragraph" w:styleId="Nadpis1">
    <w:name w:val="heading 1"/>
    <w:basedOn w:val="LO-normal"/>
    <w:next w:val="LO-normal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Nadpis2">
    <w:name w:val="heading 2"/>
    <w:basedOn w:val="LO-normal"/>
    <w:next w:val="LO-normal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Nadpis3">
    <w:name w:val="heading 3"/>
    <w:basedOn w:val="LO-normal"/>
    <w:next w:val="LO-normal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Nadpis4">
    <w:name w:val="heading 4"/>
    <w:basedOn w:val="LO-normal"/>
    <w:next w:val="LO-normal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Nadpis5">
    <w:name w:val="heading 5"/>
    <w:basedOn w:val="LO-normal"/>
    <w:next w:val="LO-normal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Nadpis6">
    <w:name w:val="heading 6"/>
    <w:basedOn w:val="LO-normal"/>
    <w:next w:val="LO-normal"/>
    <w:qFormat w:val="1"/>
    <w:pPr>
      <w:keepNext w:val="1"/>
      <w:keepLines w:val="1"/>
      <w:spacing w:after="80" w:before="240"/>
      <w:outlineLvl w:val="5"/>
    </w:pPr>
    <w:rPr>
      <w:color w:val="666666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fn" w:customStyle="1">
    <w:name w:val="fn"/>
    <w:basedOn w:val="Standardnpsmoodstavce"/>
    <w:qFormat w:val="1"/>
  </w:style>
  <w:style w:type="character" w:styleId="Siln">
    <w:name w:val="Strong"/>
    <w:basedOn w:val="Standardnpsmoodstavce"/>
    <w:qFormat w:val="1"/>
    <w:rPr>
      <w:b w:val="1"/>
      <w:bCs w:val="1"/>
    </w:rPr>
  </w:style>
  <w:style w:type="character" w:styleId="Odrky" w:customStyle="1">
    <w:name w:val="Odrážky"/>
    <w:qFormat w:val="1"/>
    <w:rPr>
      <w:rFonts w:ascii="OpenSymbol" w:cs="OpenSymbol" w:eastAsia="OpenSymbol" w:hAnsi="OpenSymbol"/>
    </w:rPr>
  </w:style>
  <w:style w:type="character" w:styleId="Silnzdraznn" w:customStyle="1">
    <w:name w:val="Silné zdůraznění"/>
    <w:qFormat w:val="1"/>
    <w:rPr>
      <w:b w:val="1"/>
      <w:bCs w:val="1"/>
    </w:rPr>
  </w:style>
  <w:style w:type="character" w:styleId="Zdraznn1" w:customStyle="1">
    <w:name w:val="Zdůraznění1"/>
    <w:qFormat w:val="1"/>
    <w:rPr>
      <w:i w:val="1"/>
      <w:iCs w:val="1"/>
    </w:rPr>
  </w:style>
  <w:style w:type="character" w:styleId="TextkomenteChar" w:customStyle="1">
    <w:name w:val="Text komentáře Char"/>
    <w:basedOn w:val="Standardnpsmoodstavce"/>
    <w:link w:val="Textkomente"/>
    <w:uiPriority w:val="99"/>
    <w:semiHidden w:val="1"/>
    <w:qFormat w:val="1"/>
    <w:rPr>
      <w:szCs w:val="20"/>
    </w:rPr>
  </w:style>
  <w:style w:type="character" w:styleId="Odkaznakoment">
    <w:name w:val="annotation reference"/>
    <w:basedOn w:val="Standardnpsmoodstavce"/>
    <w:uiPriority w:val="99"/>
    <w:semiHidden w:val="1"/>
    <w:unhideWhenUsed w:val="1"/>
    <w:qFormat w:val="1"/>
    <w:rPr>
      <w:sz w:val="16"/>
      <w:szCs w:val="16"/>
    </w:rPr>
  </w:style>
  <w:style w:type="character" w:styleId="TextbublinyChar" w:customStyle="1">
    <w:name w:val="Text bubliny Char"/>
    <w:basedOn w:val="Standardnpsmoodstavce"/>
    <w:link w:val="Textbubliny"/>
    <w:uiPriority w:val="99"/>
    <w:semiHidden w:val="1"/>
    <w:qFormat w:val="1"/>
    <w:rsid w:val="007F240B"/>
    <w:rPr>
      <w:rFonts w:ascii="Segoe UI" w:cs="Segoe UI" w:hAnsi="Segoe UI"/>
      <w:sz w:val="18"/>
      <w:szCs w:val="18"/>
    </w:rPr>
  </w:style>
  <w:style w:type="character" w:styleId="PedmtkomenteChar" w:customStyle="1">
    <w:name w:val="Předmět komentáře Char"/>
    <w:basedOn w:val="TextkomenteChar"/>
    <w:link w:val="Pedmtkomente"/>
    <w:uiPriority w:val="99"/>
    <w:semiHidden w:val="1"/>
    <w:qFormat w:val="1"/>
    <w:rsid w:val="0033026D"/>
    <w:rPr>
      <w:b w:val="1"/>
      <w:bCs w:val="1"/>
      <w:szCs w:val="20"/>
    </w:rPr>
  </w:style>
  <w:style w:type="character" w:styleId="WW8Num17z0" w:customStyle="1">
    <w:name w:val="WW8Num17z0"/>
    <w:qFormat w:val="1"/>
    <w:rPr>
      <w:rFonts w:ascii="Times New Roman" w:cs="Times New Roman" w:hAnsi="Times New Roman"/>
      <w:i w:val="0"/>
      <w:iCs w:val="0"/>
      <w:sz w:val="22"/>
      <w:szCs w:val="22"/>
      <w:lang w:eastAsia="ar-SA" w:val="cs-CZ"/>
    </w:rPr>
  </w:style>
  <w:style w:type="character" w:styleId="WW8Num21z0" w:customStyle="1">
    <w:name w:val="WW8Num21z0"/>
    <w:qFormat w:val="1"/>
    <w:rPr>
      <w:rFonts w:ascii="Times New Roman" w:cs="Times New Roman" w:eastAsia="Times New Roman" w:hAnsi="Times New Roman"/>
      <w:color w:val="000000"/>
      <w:sz w:val="22"/>
      <w:szCs w:val="22"/>
      <w:lang w:val="cs-CZ"/>
    </w:rPr>
  </w:style>
  <w:style w:type="character" w:styleId="WW8Num10z0" w:customStyle="1">
    <w:name w:val="WW8Num10z0"/>
    <w:qFormat w:val="1"/>
    <w:rPr>
      <w:rFonts w:ascii="Symbol" w:cs="Symbol" w:hAnsi="Symbol"/>
    </w:rPr>
  </w:style>
  <w:style w:type="character" w:styleId="WW8Num10z1" w:customStyle="1">
    <w:name w:val="WW8Num10z1"/>
    <w:qFormat w:val="1"/>
    <w:rPr>
      <w:rFonts w:ascii="Times New Roman" w:cs="Times New Roman" w:eastAsia="Times New Roman" w:hAnsi="Times New Roman"/>
    </w:rPr>
  </w:style>
  <w:style w:type="character" w:styleId="WW8Num10z2" w:customStyle="1">
    <w:name w:val="WW8Num10z2"/>
    <w:qFormat w:val="1"/>
    <w:rPr>
      <w:rFonts w:ascii="Wingdings" w:cs="Wingdings" w:hAnsi="Wingdings"/>
    </w:rPr>
  </w:style>
  <w:style w:type="character" w:styleId="WW8Num10z4" w:customStyle="1">
    <w:name w:val="WW8Num10z4"/>
    <w:qFormat w:val="1"/>
    <w:rPr>
      <w:rFonts w:ascii="Courier New" w:cs="Courier New" w:hAnsi="Courier New"/>
    </w:rPr>
  </w:style>
  <w:style w:type="character" w:styleId="WW8Num7z0" w:customStyle="1">
    <w:name w:val="WW8Num7z0"/>
    <w:qFormat w:val="1"/>
    <w:rPr>
      <w:rFonts w:ascii="Symbol" w:cs="Symbol" w:hAnsi="Symbol"/>
      <w:sz w:val="24"/>
    </w:rPr>
  </w:style>
  <w:style w:type="character" w:styleId="WW8Num7z1" w:customStyle="1">
    <w:name w:val="WW8Num7z1"/>
    <w:qFormat w:val="1"/>
    <w:rPr>
      <w:rFonts w:ascii="Times New Roman" w:cs="Times New Roman" w:eastAsia="Times New Roman" w:hAnsi="Times New Roman"/>
    </w:rPr>
  </w:style>
  <w:style w:type="character" w:styleId="WW8Num7z2" w:customStyle="1">
    <w:name w:val="WW8Num7z2"/>
    <w:qFormat w:val="1"/>
    <w:rPr>
      <w:rFonts w:ascii="Wingdings" w:cs="Wingdings" w:hAnsi="Wingdings"/>
    </w:rPr>
  </w:style>
  <w:style w:type="character" w:styleId="WW8Num7z4" w:customStyle="1">
    <w:name w:val="WW8Num7z4"/>
    <w:qFormat w:val="1"/>
    <w:rPr>
      <w:rFonts w:ascii="Courier New" w:cs="Courier New" w:hAnsi="Courier New"/>
    </w:rPr>
  </w:style>
  <w:style w:type="character" w:styleId="Symbolyproslovn" w:customStyle="1">
    <w:name w:val="Symboly pro číslování"/>
    <w:qFormat w:val="1"/>
  </w:style>
  <w:style w:type="character" w:styleId="ZhlavChar" w:customStyle="1">
    <w:name w:val="Záhlaví Char"/>
    <w:basedOn w:val="Standardnpsmoodstavce"/>
    <w:link w:val="Zhlav"/>
    <w:uiPriority w:val="99"/>
    <w:qFormat w:val="1"/>
    <w:rsid w:val="00960D0B"/>
    <w:rPr>
      <w:sz w:val="22"/>
    </w:rPr>
  </w:style>
  <w:style w:type="paragraph" w:styleId="Nadpis" w:customStyle="1">
    <w:name w:val="Nadpis"/>
    <w:basedOn w:val="LO-normal"/>
    <w:next w:val="Zkladntext"/>
    <w:qFormat w:val="1"/>
    <w:pPr>
      <w:keepNext w:val="1"/>
      <w:spacing w:after="120" w:before="24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LO-normal"/>
    <w:pPr>
      <w:spacing w:after="140"/>
    </w:pPr>
  </w:style>
  <w:style w:type="paragraph" w:styleId="Seznam">
    <w:name w:val="List"/>
    <w:basedOn w:val="Zkladntext"/>
  </w:style>
  <w:style w:type="paragraph" w:styleId="Titulek">
    <w:name w:val="caption"/>
    <w:basedOn w:val="LO-normal"/>
    <w:qFormat w:val="1"/>
    <w:pPr>
      <w:suppressLineNumbers w:val="1"/>
      <w:spacing w:after="120" w:before="120"/>
    </w:pPr>
    <w:rPr>
      <w:iCs w:val="1"/>
      <w:sz w:val="24"/>
      <w:szCs w:val="24"/>
    </w:rPr>
  </w:style>
  <w:style w:type="paragraph" w:styleId="Rejstk" w:customStyle="1">
    <w:name w:val="Rejstřík"/>
    <w:basedOn w:val="LO-normal"/>
    <w:qFormat w:val="1"/>
    <w:pPr>
      <w:suppressLineNumbers w:val="1"/>
    </w:pPr>
  </w:style>
  <w:style w:type="paragraph" w:styleId="LO-normal" w:customStyle="1">
    <w:name w:val="LO-normal"/>
    <w:qFormat w:val="1"/>
    <w:pPr>
      <w:spacing w:after="113" w:line="276" w:lineRule="auto"/>
      <w:jc w:val="both"/>
    </w:pPr>
  </w:style>
  <w:style w:type="paragraph" w:styleId="Nzev">
    <w:name w:val="Title"/>
    <w:basedOn w:val="LO-normal"/>
    <w:next w:val="LO-normal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Podtitul">
    <w:name w:val="Subtitle"/>
    <w:basedOn w:val="LO-normal"/>
    <w:next w:val="LO-normal"/>
    <w:qFormat w:val="1"/>
    <w:pPr>
      <w:keepNext w:val="1"/>
      <w:keepLines w:val="1"/>
      <w:spacing w:after="320" w:line="240" w:lineRule="auto"/>
    </w:pPr>
    <w:rPr>
      <w:color w:val="666666"/>
      <w:sz w:val="30"/>
      <w:szCs w:val="30"/>
    </w:rPr>
  </w:style>
  <w:style w:type="paragraph" w:styleId="Obsahtabulky" w:customStyle="1">
    <w:name w:val="Obsah tabulky"/>
    <w:basedOn w:val="LO-normal"/>
    <w:qFormat w:val="1"/>
    <w:pPr>
      <w:suppressLineNumbers w:val="1"/>
    </w:pPr>
  </w:style>
  <w:style w:type="paragraph" w:styleId="Nadpistabulky" w:customStyle="1">
    <w:name w:val="Nadpis tabulky"/>
    <w:basedOn w:val="Obsahtabulky"/>
    <w:qFormat w:val="1"/>
    <w:pPr>
      <w:jc w:val="center"/>
    </w:pPr>
    <w:rPr>
      <w:bCs w:val="1"/>
    </w:rPr>
  </w:style>
  <w:style w:type="paragraph" w:styleId="Zhlavazpat" w:customStyle="1">
    <w:name w:val="Záhlaví a zápatí"/>
    <w:basedOn w:val="LO-normal"/>
    <w:qFormat w:val="1"/>
  </w:style>
  <w:style w:type="paragraph" w:styleId="Zpat">
    <w:name w:val="footer"/>
    <w:basedOn w:val="LO-normal"/>
    <w:pPr>
      <w:suppressLineNumbers w:val="1"/>
      <w:tabs>
        <w:tab w:val="left" w:pos="284"/>
        <w:tab w:val="center" w:pos="4513"/>
        <w:tab w:val="right" w:pos="9026"/>
      </w:tabs>
    </w:pPr>
  </w:style>
  <w:style w:type="paragraph" w:styleId="Textkomente">
    <w:name w:val="annotation text"/>
    <w:basedOn w:val="LO-normal"/>
    <w:link w:val="TextkomenteChar"/>
    <w:uiPriority w:val="99"/>
    <w:semiHidden w:val="1"/>
    <w:unhideWhenUsed w:val="1"/>
    <w:qFormat w:val="1"/>
    <w:pPr>
      <w:spacing w:line="240" w:lineRule="auto"/>
    </w:pPr>
  </w:style>
  <w:style w:type="paragraph" w:styleId="Textbubliny">
    <w:name w:val="Balloon Text"/>
    <w:basedOn w:val="LO-normal"/>
    <w:link w:val="TextbublinyChar"/>
    <w:uiPriority w:val="99"/>
    <w:semiHidden w:val="1"/>
    <w:unhideWhenUsed w:val="1"/>
    <w:qFormat w:val="1"/>
    <w:rsid w:val="007F240B"/>
    <w:pPr>
      <w:spacing w:line="240" w:lineRule="auto"/>
    </w:pPr>
    <w:rPr>
      <w:rFonts w:ascii="Segoe UI" w:cs="Segoe UI" w:hAnsi="Segoe UI"/>
      <w:sz w:val="18"/>
      <w:szCs w:val="18"/>
    </w:rPr>
  </w:style>
  <w:style w:type="paragraph" w:styleId="Odstavecseseznamem">
    <w:name w:val="List Paragraph"/>
    <w:basedOn w:val="LO-normal"/>
    <w:qFormat w:val="1"/>
    <w:pPr>
      <w:spacing w:after="200"/>
      <w:ind w:left="720"/>
      <w:contextualSpacing w:val="1"/>
    </w:pPr>
    <w:rPr>
      <w:rFonts w:cs="Times New Roman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 w:val="1"/>
    <w:unhideWhenUsed w:val="1"/>
    <w:qFormat w:val="1"/>
    <w:rsid w:val="0033026D"/>
    <w:rPr>
      <w:bCs w:val="1"/>
    </w:rPr>
  </w:style>
  <w:style w:type="paragraph" w:styleId="Normln1" w:customStyle="1">
    <w:name w:val="Normální1"/>
    <w:qFormat w:val="1"/>
    <w:rsid w:val="005379F5"/>
    <w:pPr>
      <w:widowControl w:val="0"/>
      <w:spacing w:line="276" w:lineRule="auto"/>
    </w:pPr>
    <w:rPr>
      <w:rFonts w:ascii="Times New Roman" w:cs="Times New Roman" w:eastAsia="Times New Roman" w:hAnsi="Times New Roman"/>
      <w:sz w:val="24"/>
      <w:lang w:bidi="ar-SA" w:eastAsia="cs-CZ"/>
    </w:rPr>
  </w:style>
  <w:style w:type="paragraph" w:styleId="standard" w:customStyle="1">
    <w:name w:val="standard"/>
    <w:qFormat w:val="1"/>
    <w:pPr>
      <w:widowControl w:val="0"/>
      <w:spacing w:line="276" w:lineRule="auto"/>
    </w:pPr>
    <w:rPr>
      <w:rFonts w:ascii="Times New Roman" w:cs="Times New Roman" w:eastAsia="Times New Roman" w:hAnsi="Times New Roman"/>
      <w:sz w:val="24"/>
      <w:lang w:bidi="ar-SA" w:eastAsia="cs-CZ"/>
    </w:rPr>
  </w:style>
  <w:style w:type="paragraph" w:styleId="odst" w:customStyle="1">
    <w:name w:val="odst"/>
    <w:qFormat w:val="1"/>
    <w:pPr>
      <w:widowControl w:val="0"/>
      <w:tabs>
        <w:tab w:val="left" w:pos="284"/>
        <w:tab w:val="left" w:pos="567"/>
      </w:tabs>
      <w:snapToGrid w:val="0"/>
      <w:spacing w:line="276" w:lineRule="auto"/>
      <w:ind w:left="567" w:hanging="567"/>
      <w:jc w:val="both"/>
    </w:pPr>
    <w:rPr>
      <w:rFonts w:ascii="Times New Roman" w:cs="Times New Roman" w:eastAsia="Times New Roman" w:hAnsi="Times New Roman"/>
      <w:sz w:val="24"/>
      <w:lang w:bidi="ar-SA" w:eastAsia="cs-CZ"/>
    </w:rPr>
  </w:style>
  <w:style w:type="paragraph" w:styleId="Zhlav">
    <w:name w:val="header"/>
    <w:basedOn w:val="LO-normal"/>
    <w:link w:val="ZhlavChar"/>
    <w:uiPriority w:val="99"/>
    <w:unhideWhenUsed w:val="1"/>
    <w:rsid w:val="00960D0B"/>
    <w:pPr>
      <w:tabs>
        <w:tab w:val="left" w:pos="284"/>
        <w:tab w:val="center" w:pos="4677"/>
        <w:tab w:val="right" w:pos="9355"/>
      </w:tabs>
      <w:spacing w:line="240" w:lineRule="auto"/>
    </w:pPr>
  </w:style>
  <w:style w:type="numbering" w:styleId="WW8Num17" w:customStyle="1">
    <w:name w:val="WW8Num17"/>
    <w:qFormat w:val="1"/>
  </w:style>
  <w:style w:type="numbering" w:styleId="WW8Num21" w:customStyle="1">
    <w:name w:val="WW8Num21"/>
    <w:qFormat w:val="1"/>
  </w:style>
  <w:style w:type="numbering" w:styleId="WW8Num10" w:customStyle="1">
    <w:name w:val="WW8Num10"/>
    <w:qFormat w:val="1"/>
  </w:style>
  <w:style w:type="numbering" w:styleId="WW8Num7" w:customStyle="1">
    <w:name w:val="WW8Num7"/>
    <w:qFormat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20" w:before="0" w:line="240" w:lineRule="auto"/>
      <w:ind w:left="0" w:right="0" w:firstLine="0"/>
      <w:jc w:val="both"/>
    </w:pPr>
    <w:rPr>
      <w:rFonts w:ascii="Calibri" w:cs="Calibri" w:eastAsia="Calibri" w:hAnsi="Calibri"/>
      <w:b w:val="1"/>
      <w:i w:val="1"/>
      <w:smallCaps w:val="0"/>
      <w:strike w:val="0"/>
      <w:color w:val="666666"/>
      <w:sz w:val="30"/>
      <w:szCs w:val="30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spacing w:after="40" w:before="240" w:line="259" w:lineRule="auto"/>
      <w:ind w:right="-264" w:firstLine="0"/>
      <w:jc w:val="center"/>
    </w:pPr>
    <w:rPr>
      <w:rFonts w:ascii="Arial" w:cs="Arial" w:eastAsia="Arial" w:hAnsi="Arial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-264" w:firstLine="0"/>
      <w:jc w:val="center"/>
    </w:pPr>
    <w:rPr>
      <w:rFonts w:ascii="Arial" w:cs="Arial" w:eastAsia="Arial" w:hAnsi="Arial"/>
      <w:b w:val="0"/>
      <w:i w:val="0"/>
      <w:smallCaps w:val="0"/>
      <w:strike w:val="0"/>
      <w:color w:val="666666"/>
      <w:sz w:val="30"/>
      <w:szCs w:val="30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-264" w:firstLine="0"/>
      <w:jc w:val="center"/>
    </w:pPr>
    <w:rPr>
      <w:rFonts w:ascii="Arial" w:cs="Arial" w:eastAsia="Arial" w:hAnsi="Arial"/>
      <w:b w:val="0"/>
      <w:i w:val="0"/>
      <w:smallCaps w:val="0"/>
      <w:strike w:val="0"/>
      <w:color w:val="666666"/>
      <w:sz w:val="30"/>
      <w:szCs w:val="30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oppins-regular.ttf"/><Relationship Id="rId2" Type="http://schemas.openxmlformats.org/officeDocument/2006/relationships/font" Target="fonts/Poppins-bold.ttf"/><Relationship Id="rId3" Type="http://schemas.openxmlformats.org/officeDocument/2006/relationships/font" Target="fonts/Poppins-italic.ttf"/><Relationship Id="rId4" Type="http://schemas.openxmlformats.org/officeDocument/2006/relationships/font" Target="fonts/Poppins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je5qJrTP6/DBPkYDuLnaGxw8MQ==">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2020-08-26T14:43:00Z</dcterms:created>
  <dc:creator>Ředitel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